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line="240" w:lineRule="auto"/>
        <w:jc w:val="left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MSAC Nominating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Meeting Minutes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April 5, 2021</w:t>
      </w:r>
    </w:p>
    <w:p w:rsidR="00000000" w:rsidDel="00000000" w:rsidP="00000000" w:rsidRDefault="00000000" w:rsidRPr="00000000" w14:paraId="00000007">
      <w:pPr>
        <w:pageBreakBefore w:val="0"/>
        <w:pBdr>
          <w:bottom w:color="c00000" w:space="1" w:sz="24" w:val="single"/>
        </w:pBdr>
        <w:spacing w:line="240" w:lineRule="auto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The Nominating Committee shall have general supervision of the affairs of the Council, make recommendations to the Council, and shall perform other duties as specified…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Called to order at 11:12 a.m. The committee reviewed the Council’s by-laws and Shelly Morhaim made a motion to nominate Julia Spangler-Madden for Chair, Anne Winter West for Vice Chair and Benny Russell for Secretary/Treasurer. Carole seconded and the committee voted all in favor.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Council Liaison, Keyonna Penick to forward slate to the entire council for a full vote during MSAC’s next annual meeting in June. The Committee agreed to share term limits and by-laws with fellow council members at the June meeting as well.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Adjourned 11:30 a.m.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ageBreakBefore w:val="0"/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9050" distT="19050" distL="19050" distR="19050">
          <wp:extent cx="1676150" cy="47863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150" cy="4786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