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80"/>
        <w:rPr/>
      </w:pPr>
      <w:r w:rsidDel="00000000" w:rsidR="00000000" w:rsidRPr="00000000">
        <w:rPr>
          <w:rtl w:val="0"/>
        </w:rPr>
        <w:t xml:space="preserve">Examples of dates and activities are listed in gray italics. Please input your proposed schedule in fields below, and add additional rows if needed. Save the document with applicant or organization name in the title, and upload the file in SmartSimple as Attachment C. Reminder MSAC-supported activities cannot start until 8 weeks after application deadline.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1440"/>
        <w:gridCol w:w="6495"/>
        <w:tblGridChange w:id="0">
          <w:tblGrid>
            <w:gridCol w:w="1425"/>
            <w:gridCol w:w="1440"/>
            <w:gridCol w:w="649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Applicant and/or Organization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 From: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 To: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Dec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Feb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Community Engagement Input Meetings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Feb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Develop Call to Artists (RFQ)</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7b7b7"/>
              </w:rPr>
            </w:pPr>
            <w:r w:rsidDel="00000000" w:rsidR="00000000" w:rsidRPr="00000000">
              <w:rPr>
                <w:i w:val="1"/>
                <w:color w:val="b7b7b7"/>
                <w:rtl w:val="0"/>
              </w:rPr>
              <w:t xml:space="preserve">Call to Artists Open for Applications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sectPr>
      <w:headerReference r:id="rId6" w:type="default"/>
      <w:pgSz w:h="15840" w:w="12240" w:orient="portrait"/>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Public Art Across Maryland Grant Schedule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